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F27C7C">
        <w:rPr>
          <w:rFonts w:ascii="Arial" w:eastAsia="Batang" w:hAnsi="Arial" w:cs="Arial"/>
          <w:b/>
          <w:bCs/>
          <w:lang w:val="en-GB"/>
        </w:rPr>
        <w:t>8885</w:t>
      </w:r>
    </w:p>
    <w:p w:rsidR="00253282" w:rsidRPr="00D86AA7" w:rsidRDefault="00253282" w:rsidP="00253282">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105DE0">
        <w:rPr>
          <w:sz w:val="22"/>
          <w:szCs w:val="22"/>
        </w:rPr>
        <w:t>12</w:t>
      </w:r>
      <w:r w:rsidR="00DC01E8">
        <w:rPr>
          <w:sz w:val="22"/>
          <w:szCs w:val="22"/>
        </w:rPr>
        <w:t>.</w:t>
      </w:r>
      <w:r w:rsidR="00105DE0">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CC1F22">
        <w:rPr>
          <w:sz w:val="22"/>
          <w:szCs w:val="22"/>
        </w:rPr>
        <w:t>TA</w:t>
      </w:r>
      <w:r w:rsidR="00105DE0">
        <w:rPr>
          <w:sz w:val="22"/>
          <w:szCs w:val="22"/>
        </w:rPr>
        <w:t xml:space="preserve"> Management for NR Mobility</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105DE0" w:rsidP="00557396">
      <w:pPr>
        <w:pStyle w:val="0Maintext"/>
        <w:spacing w:after="120" w:afterAutospacing="0" w:line="240" w:lineRule="auto"/>
        <w:ind w:firstLine="0"/>
        <w:rPr>
          <w:rFonts w:eastAsiaTheme="minorEastAsia"/>
          <w:lang w:val="en-US" w:eastAsia="zh-CN"/>
        </w:rPr>
      </w:pPr>
      <w:r>
        <w:rPr>
          <w:lang w:val="en-US"/>
        </w:rPr>
        <w:t>For Rel-18 mobility enhancement, the following objective on RAN1 related enhancement were agreed.</w:t>
      </w:r>
    </w:p>
    <w:tbl>
      <w:tblPr>
        <w:tblStyle w:val="TableGrid"/>
        <w:tblW w:w="0" w:type="auto"/>
        <w:tblLook w:val="04A0" w:firstRow="1" w:lastRow="0" w:firstColumn="1" w:lastColumn="0" w:noHBand="0" w:noVBand="1"/>
      </w:tblPr>
      <w:tblGrid>
        <w:gridCol w:w="9010"/>
      </w:tblGrid>
      <w:tr w:rsidR="00557396" w:rsidRPr="00105DE0" w:rsidTr="00557396">
        <w:tc>
          <w:tcPr>
            <w:tcW w:w="9010" w:type="dxa"/>
          </w:tcPr>
          <w:p w:rsidR="00105DE0" w:rsidRPr="00105DE0" w:rsidRDefault="00105DE0" w:rsidP="00105DE0">
            <w:pPr>
              <w:numPr>
                <w:ilvl w:val="0"/>
                <w:numId w:val="27"/>
              </w:numPr>
              <w:jc w:val="both"/>
              <w:rPr>
                <w:bCs/>
                <w:sz w:val="20"/>
                <w:szCs w:val="20"/>
              </w:rPr>
            </w:pPr>
            <w:r w:rsidRPr="00105DE0">
              <w:rPr>
                <w:bCs/>
                <w:sz w:val="20"/>
                <w:szCs w:val="20"/>
              </w:rPr>
              <w:t xml:space="preserve">To specify mechanism and procedures of </w:t>
            </w:r>
            <w:r w:rsidRPr="00105DE0">
              <w:rPr>
                <w:rFonts w:hint="eastAsia"/>
                <w:bCs/>
                <w:sz w:val="20"/>
                <w:szCs w:val="20"/>
              </w:rPr>
              <w:t>L</w:t>
            </w:r>
            <w:r w:rsidRPr="00105DE0">
              <w:rPr>
                <w:bCs/>
                <w:sz w:val="20"/>
                <w:szCs w:val="20"/>
              </w:rPr>
              <w:t>1/L2 based inter-cell mobility for mobility latency reduction:</w:t>
            </w:r>
          </w:p>
          <w:p w:rsidR="00105DE0" w:rsidRPr="00105DE0" w:rsidRDefault="00105DE0" w:rsidP="00105DE0">
            <w:pPr>
              <w:numPr>
                <w:ilvl w:val="0"/>
                <w:numId w:val="28"/>
              </w:numPr>
              <w:jc w:val="both"/>
              <w:rPr>
                <w:bCs/>
                <w:sz w:val="20"/>
                <w:szCs w:val="20"/>
              </w:rPr>
            </w:pPr>
            <w:r w:rsidRPr="00105DE0">
              <w:rPr>
                <w:bCs/>
                <w:sz w:val="20"/>
                <w:szCs w:val="20"/>
              </w:rPr>
              <w:t>Configuration and maintenance for multiple candidate cells to allow fast application of configurations for candidate cells [RAN2, RAN3]</w:t>
            </w:r>
          </w:p>
          <w:p w:rsidR="00105DE0" w:rsidRPr="00105DE0" w:rsidRDefault="00105DE0" w:rsidP="00105DE0">
            <w:pPr>
              <w:numPr>
                <w:ilvl w:val="0"/>
                <w:numId w:val="28"/>
              </w:numPr>
              <w:jc w:val="both"/>
              <w:rPr>
                <w:bCs/>
                <w:sz w:val="20"/>
                <w:szCs w:val="20"/>
              </w:rPr>
            </w:pPr>
            <w:r w:rsidRPr="00105DE0">
              <w:rPr>
                <w:bCs/>
                <w:sz w:val="20"/>
                <w:szCs w:val="20"/>
              </w:rPr>
              <w:t xml:space="preserve">Dynamic switch mechanism among candidate serving cells (including </w:t>
            </w:r>
            <w:proofErr w:type="spellStart"/>
            <w:r w:rsidRPr="00105DE0">
              <w:rPr>
                <w:bCs/>
                <w:sz w:val="20"/>
                <w:szCs w:val="20"/>
              </w:rPr>
              <w:t>SpCell</w:t>
            </w:r>
            <w:proofErr w:type="spellEnd"/>
            <w:r w:rsidRPr="00105DE0">
              <w:rPr>
                <w:bCs/>
                <w:sz w:val="20"/>
                <w:szCs w:val="20"/>
              </w:rPr>
              <w:t xml:space="preserve"> and SCell) for the potential applicable scenarios based on L1</w:t>
            </w:r>
            <w:r w:rsidRPr="00105DE0">
              <w:rPr>
                <w:rFonts w:hint="eastAsia"/>
                <w:bCs/>
                <w:sz w:val="20"/>
                <w:szCs w:val="20"/>
              </w:rPr>
              <w:t>/</w:t>
            </w:r>
            <w:r w:rsidRPr="00105DE0">
              <w:rPr>
                <w:bCs/>
                <w:sz w:val="20"/>
                <w:szCs w:val="20"/>
              </w:rPr>
              <w:t xml:space="preserve">L2 </w:t>
            </w:r>
            <w:proofErr w:type="spellStart"/>
            <w:r w:rsidRPr="00105DE0">
              <w:rPr>
                <w:bCs/>
                <w:sz w:val="20"/>
                <w:szCs w:val="20"/>
              </w:rPr>
              <w:t>signalling</w:t>
            </w:r>
            <w:proofErr w:type="spellEnd"/>
            <w:r w:rsidRPr="00105DE0">
              <w:rPr>
                <w:bCs/>
                <w:sz w:val="20"/>
                <w:szCs w:val="20"/>
              </w:rPr>
              <w:t xml:space="preserve"> [RAN2, RAN1]</w:t>
            </w:r>
          </w:p>
          <w:p w:rsidR="00105DE0" w:rsidRPr="00CC1F22" w:rsidRDefault="00105DE0" w:rsidP="00105DE0">
            <w:pPr>
              <w:numPr>
                <w:ilvl w:val="0"/>
                <w:numId w:val="28"/>
              </w:numPr>
              <w:jc w:val="both"/>
              <w:rPr>
                <w:bCs/>
                <w:sz w:val="20"/>
                <w:szCs w:val="20"/>
              </w:rPr>
            </w:pPr>
            <w:r w:rsidRPr="00CC1F22">
              <w:rPr>
                <w:bCs/>
                <w:sz w:val="20"/>
                <w:szCs w:val="20"/>
              </w:rPr>
              <w:t xml:space="preserve">L1 enhancements for inter-cell beam management, including </w:t>
            </w:r>
            <w:r w:rsidRPr="00CC1F22">
              <w:rPr>
                <w:rFonts w:hint="eastAsia"/>
                <w:bCs/>
                <w:sz w:val="20"/>
                <w:szCs w:val="20"/>
              </w:rPr>
              <w:t>L</w:t>
            </w:r>
            <w:r w:rsidRPr="00CC1F22">
              <w:rPr>
                <w:bCs/>
                <w:sz w:val="20"/>
                <w:szCs w:val="20"/>
              </w:rPr>
              <w:t>1 measurement and reporting, and beam indication [RAN1, RAN2]</w:t>
            </w:r>
          </w:p>
          <w:p w:rsidR="00105DE0" w:rsidRPr="00105DE0" w:rsidRDefault="00105DE0" w:rsidP="00105DE0">
            <w:pPr>
              <w:numPr>
                <w:ilvl w:val="1"/>
                <w:numId w:val="28"/>
              </w:numPr>
              <w:jc w:val="both"/>
              <w:rPr>
                <w:bCs/>
                <w:i/>
                <w:sz w:val="20"/>
                <w:szCs w:val="20"/>
              </w:rPr>
            </w:pPr>
            <w:r w:rsidRPr="00105DE0">
              <w:rPr>
                <w:bCs/>
                <w:i/>
                <w:sz w:val="20"/>
                <w:szCs w:val="20"/>
              </w:rPr>
              <w:t>Note 1: Early RAN2 involvement is necessary, including the possibility of further clarifying the interaction between this bullet with the previous bullet</w:t>
            </w:r>
          </w:p>
          <w:p w:rsidR="00105DE0" w:rsidRPr="00CC1F22" w:rsidRDefault="00105DE0" w:rsidP="00105DE0">
            <w:pPr>
              <w:numPr>
                <w:ilvl w:val="0"/>
                <w:numId w:val="28"/>
              </w:numPr>
              <w:jc w:val="both"/>
              <w:rPr>
                <w:bCs/>
                <w:sz w:val="20"/>
                <w:szCs w:val="20"/>
                <w:highlight w:val="yellow"/>
              </w:rPr>
            </w:pPr>
            <w:r w:rsidRPr="00CC1F22">
              <w:rPr>
                <w:bCs/>
                <w:sz w:val="20"/>
                <w:szCs w:val="20"/>
                <w:highlight w:val="yellow"/>
              </w:rPr>
              <w:t>Timing Advance management [RAN1, RAN2]</w:t>
            </w:r>
          </w:p>
          <w:p w:rsidR="00105DE0" w:rsidRPr="00105DE0" w:rsidRDefault="00105DE0" w:rsidP="00105DE0">
            <w:pPr>
              <w:numPr>
                <w:ilvl w:val="0"/>
                <w:numId w:val="28"/>
              </w:numPr>
              <w:jc w:val="both"/>
              <w:rPr>
                <w:bCs/>
                <w:sz w:val="20"/>
                <w:szCs w:val="20"/>
              </w:rPr>
            </w:pPr>
            <w:r w:rsidRPr="00105DE0">
              <w:rPr>
                <w:bCs/>
                <w:sz w:val="20"/>
                <w:szCs w:val="20"/>
              </w:rPr>
              <w:t>CU-DU interface signaling to support L1/</w:t>
            </w:r>
            <w:r w:rsidRPr="00105DE0">
              <w:rPr>
                <w:rFonts w:hint="eastAsia"/>
                <w:bCs/>
                <w:sz w:val="20"/>
                <w:szCs w:val="20"/>
              </w:rPr>
              <w:t>L</w:t>
            </w:r>
            <w:r w:rsidRPr="00105DE0">
              <w:rPr>
                <w:bCs/>
                <w:sz w:val="20"/>
                <w:szCs w:val="20"/>
              </w:rPr>
              <w:t>2 mobility, if needed [RAN3]</w:t>
            </w:r>
          </w:p>
          <w:p w:rsidR="00253282" w:rsidRPr="00105DE0" w:rsidRDefault="00253282" w:rsidP="00253282">
            <w:pPr>
              <w:rPr>
                <w:rFonts w:cs="Times"/>
                <w:sz w:val="20"/>
                <w:szCs w:val="20"/>
              </w:rPr>
            </w:pPr>
          </w:p>
          <w:p w:rsidR="00557396" w:rsidRPr="00105DE0" w:rsidRDefault="00557396" w:rsidP="00906A9A">
            <w:pPr>
              <w:shd w:val="clear" w:color="auto" w:fill="FFFFFF"/>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CC1F22">
        <w:rPr>
          <w:lang w:val="en-US"/>
        </w:rPr>
        <w:t>TA management</w:t>
      </w:r>
      <w:r w:rsidR="00105DE0">
        <w:rPr>
          <w:lang w:val="en-US"/>
        </w:rPr>
        <w:t xml:space="preserve"> </w:t>
      </w:r>
      <w:r w:rsidR="00CC1F22">
        <w:rPr>
          <w:lang w:val="en-US"/>
        </w:rPr>
        <w:t>for Rel-18 mobility enhancement.</w:t>
      </w:r>
    </w:p>
    <w:p w:rsidR="001F1EBF" w:rsidRDefault="00CC1F22" w:rsidP="001F1EBF">
      <w:pPr>
        <w:pStyle w:val="Heading1"/>
      </w:pPr>
      <w:r>
        <w:t>Discussion</w:t>
      </w:r>
    </w:p>
    <w:p w:rsidR="00BD2876" w:rsidRDefault="00C63FD7" w:rsidP="00557396">
      <w:pPr>
        <w:pStyle w:val="0Maintext"/>
        <w:spacing w:after="120" w:afterAutospacing="0" w:line="240" w:lineRule="auto"/>
        <w:ind w:firstLine="0"/>
        <w:rPr>
          <w:lang w:val="en-US"/>
        </w:rPr>
      </w:pPr>
      <w:r>
        <w:rPr>
          <w:lang w:val="en-US"/>
        </w:rPr>
        <w:t xml:space="preserve">In Rel-18 MIMO WI, it is agreed to introduce two TAGs for </w:t>
      </w:r>
      <w:proofErr w:type="spellStart"/>
      <w:r>
        <w:rPr>
          <w:lang w:val="en-US"/>
        </w:rPr>
        <w:t>mTRP</w:t>
      </w:r>
      <w:proofErr w:type="spellEnd"/>
      <w:r>
        <w:rPr>
          <w:lang w:val="en-US"/>
        </w:rPr>
        <w:t xml:space="preserve"> operation. For mobility enhancement, it is different from </w:t>
      </w:r>
      <w:proofErr w:type="spellStart"/>
      <w:r>
        <w:rPr>
          <w:lang w:val="en-US"/>
        </w:rPr>
        <w:t>mTRP</w:t>
      </w:r>
      <w:proofErr w:type="spellEnd"/>
      <w:r>
        <w:rPr>
          <w:lang w:val="en-US"/>
        </w:rPr>
        <w:t xml:space="preserve"> operation, which does not need to mandate the UE to communicate with two cells simultaneously. </w:t>
      </w:r>
      <w:r w:rsidR="00BD2876">
        <w:rPr>
          <w:lang w:val="en-US"/>
        </w:rPr>
        <w:t xml:space="preserve">Thus, it could be unnecessary for a UE to maintain more than 1 TAGs for mobility enhancement. </w:t>
      </w:r>
      <w:r>
        <w:rPr>
          <w:lang w:val="en-US"/>
        </w:rPr>
        <w:t>However, the TA could be different for a UE to transmit uplink signals to different cells, as the propagation delay could be quite different.</w:t>
      </w:r>
      <w:r w:rsidR="00BD2876">
        <w:rPr>
          <w:lang w:val="en-US"/>
        </w:rPr>
        <w:t xml:space="preserve"> When UE starts to communicate with the target cell, it is necessary to apply a proper TA. The TA management for mobility should include two aspects: </w:t>
      </w:r>
    </w:p>
    <w:p w:rsidR="00BD2876" w:rsidRDefault="00BD2876" w:rsidP="00BD2876">
      <w:pPr>
        <w:pStyle w:val="0Maintext"/>
        <w:numPr>
          <w:ilvl w:val="0"/>
          <w:numId w:val="32"/>
        </w:numPr>
        <w:spacing w:after="120" w:afterAutospacing="0" w:line="240" w:lineRule="auto"/>
        <w:rPr>
          <w:lang w:val="en-US"/>
        </w:rPr>
      </w:pPr>
      <w:r>
        <w:rPr>
          <w:lang w:val="en-US"/>
        </w:rPr>
        <w:t>TA measurement for uplink signals to target cell</w:t>
      </w:r>
    </w:p>
    <w:p w:rsidR="00CC1F22" w:rsidRDefault="00BD2876" w:rsidP="00BD2876">
      <w:pPr>
        <w:pStyle w:val="0Maintext"/>
        <w:numPr>
          <w:ilvl w:val="0"/>
          <w:numId w:val="32"/>
        </w:numPr>
        <w:spacing w:after="120" w:afterAutospacing="0" w:line="240" w:lineRule="auto"/>
        <w:rPr>
          <w:lang w:val="en-US"/>
        </w:rPr>
      </w:pPr>
      <w:r>
        <w:rPr>
          <w:lang w:val="en-US"/>
        </w:rPr>
        <w:t xml:space="preserve">TA update for uplink signals to target cell. </w:t>
      </w:r>
    </w:p>
    <w:p w:rsidR="00F970AE" w:rsidRDefault="00F970AE" w:rsidP="00F970AE">
      <w:pPr>
        <w:pStyle w:val="0Maintext"/>
        <w:spacing w:after="120" w:afterAutospacing="0" w:line="240" w:lineRule="auto"/>
        <w:rPr>
          <w:lang w:val="en-US"/>
        </w:rPr>
      </w:pPr>
    </w:p>
    <w:p w:rsidR="00F970AE" w:rsidRPr="00F970AE" w:rsidRDefault="00F970AE" w:rsidP="00F970AE">
      <w:pPr>
        <w:pStyle w:val="0Maintext"/>
        <w:spacing w:after="120" w:afterAutospacing="0" w:line="240" w:lineRule="auto"/>
        <w:ind w:firstLine="0"/>
        <w:rPr>
          <w:b/>
          <w:bCs/>
          <w:i/>
          <w:iCs/>
          <w:lang w:val="en-US"/>
        </w:rPr>
      </w:pPr>
      <w:r w:rsidRPr="00F970AE">
        <w:rPr>
          <w:b/>
          <w:bCs/>
          <w:i/>
          <w:iCs/>
          <w:lang w:val="en-US"/>
        </w:rPr>
        <w:t xml:space="preserve">Proposal 1: TA management for NR mobility </w:t>
      </w:r>
      <w:r w:rsidR="00AE6E81">
        <w:rPr>
          <w:b/>
          <w:bCs/>
          <w:i/>
          <w:iCs/>
          <w:lang w:val="en-US"/>
        </w:rPr>
        <w:t>shall</w:t>
      </w:r>
      <w:r w:rsidRPr="00F970AE">
        <w:rPr>
          <w:b/>
          <w:bCs/>
          <w:i/>
          <w:iCs/>
          <w:lang w:val="en-US"/>
        </w:rPr>
        <w:t xml:space="preserve"> not require more than 2 TAGs.</w:t>
      </w:r>
    </w:p>
    <w:p w:rsidR="00C63FD7" w:rsidRDefault="00BD2876" w:rsidP="00BD2876">
      <w:pPr>
        <w:pStyle w:val="Heading2"/>
      </w:pPr>
      <w:r>
        <w:t>TA measurement</w:t>
      </w:r>
    </w:p>
    <w:p w:rsidR="00885435" w:rsidRDefault="00BD2876" w:rsidP="00557396">
      <w:pPr>
        <w:pStyle w:val="0Maintext"/>
        <w:spacing w:after="120" w:afterAutospacing="0" w:line="240" w:lineRule="auto"/>
        <w:ind w:firstLine="0"/>
        <w:rPr>
          <w:lang w:val="en-US" w:eastAsia="zh-CN"/>
        </w:rPr>
      </w:pPr>
      <w:r>
        <w:rPr>
          <w:lang w:val="en-US" w:eastAsia="zh-CN"/>
        </w:rPr>
        <w:t>Usually, the TA can be measured by UE and gNB. For UE-based TA measurement, the UE can measure the TA based on downlink timing for downlink signals.</w:t>
      </w:r>
      <w:r w:rsidR="00812D24">
        <w:rPr>
          <w:lang w:val="en-US" w:eastAsia="zh-CN"/>
        </w:rPr>
        <w:t xml:space="preserve"> In this way, the UE needs to know </w:t>
      </w:r>
      <w:r w:rsidR="00037AFC">
        <w:rPr>
          <w:lang w:val="en-US" w:eastAsia="zh-CN"/>
        </w:rPr>
        <w:t>a first</w:t>
      </w:r>
      <w:r w:rsidR="00812D24">
        <w:rPr>
          <w:lang w:val="en-US" w:eastAsia="zh-CN"/>
        </w:rPr>
        <w:t xml:space="preserve"> TA for a first downlink signal, and the UE can measure the timing for a second downlink signal. Then by comparing the timing difference between the two downlink signals, the UE can obtain the propagation difference between the two downlink signals so that it can estimate the </w:t>
      </w:r>
      <w:r w:rsidR="00037AFC">
        <w:rPr>
          <w:lang w:val="en-US" w:eastAsia="zh-CN"/>
        </w:rPr>
        <w:t xml:space="preserve">second </w:t>
      </w:r>
      <w:r w:rsidR="00812D24">
        <w:rPr>
          <w:lang w:val="en-US" w:eastAsia="zh-CN"/>
        </w:rPr>
        <w:t xml:space="preserve">TA for the link with the same direction as the second downlink signal based on the </w:t>
      </w:r>
      <w:r w:rsidR="00037AFC">
        <w:rPr>
          <w:lang w:val="en-US" w:eastAsia="zh-CN"/>
        </w:rPr>
        <w:t xml:space="preserve">first </w:t>
      </w:r>
      <w:r w:rsidR="00812D24">
        <w:rPr>
          <w:lang w:val="en-US" w:eastAsia="zh-CN"/>
        </w:rPr>
        <w:t>TA from the first signal and timing difference between two signals.</w:t>
      </w:r>
      <w:r w:rsidR="00037AFC">
        <w:rPr>
          <w:lang w:val="en-US" w:eastAsia="zh-CN"/>
        </w:rPr>
        <w:t xml:space="preserve"> Such measurement should require the two downlink signals are well-synchronized. </w:t>
      </w:r>
      <w:r w:rsidR="00A2597F">
        <w:rPr>
          <w:lang w:val="en-US" w:eastAsia="zh-CN"/>
        </w:rPr>
        <w:t xml:space="preserve"> </w:t>
      </w:r>
    </w:p>
    <w:p w:rsidR="00885435" w:rsidRDefault="00A2597F" w:rsidP="00885435">
      <w:pPr>
        <w:pStyle w:val="0Maintext"/>
        <w:spacing w:after="120" w:afterAutospacing="0" w:line="240" w:lineRule="auto"/>
        <w:ind w:firstLine="0"/>
        <w:rPr>
          <w:lang w:val="en-US" w:eastAsia="zh-CN"/>
        </w:rPr>
      </w:pPr>
      <w:r>
        <w:rPr>
          <w:lang w:val="en-US" w:eastAsia="zh-CN"/>
        </w:rPr>
        <w:lastRenderedPageBreak/>
        <w:t>Figure 1 illustrates UE-based TA measurement.</w:t>
      </w:r>
      <w:r w:rsidR="00885435">
        <w:rPr>
          <w:lang w:val="en-US" w:eastAsia="zh-CN"/>
        </w:rPr>
        <w:t xml:space="preserve"> It can be observed that for well-synchronized cells, UE based TA measurement is possible. When the serving cell and target cell are well-synchronized, the UE can estimate the TA for uplink signal 2 to target cell based on the TA in serving cell and the timing difference between downlink signals from serving cell and target cell.</w:t>
      </w:r>
    </w:p>
    <w:p w:rsidR="00BD2876" w:rsidRDefault="00BD2876" w:rsidP="00557396">
      <w:pPr>
        <w:pStyle w:val="0Maintext"/>
        <w:spacing w:after="120" w:afterAutospacing="0" w:line="240" w:lineRule="auto"/>
        <w:ind w:firstLine="0"/>
        <w:rPr>
          <w:lang w:val="en-US" w:eastAsia="zh-CN"/>
        </w:rPr>
      </w:pPr>
    </w:p>
    <w:p w:rsidR="00A2597F" w:rsidRDefault="00AE6E81" w:rsidP="00A2597F">
      <w:pPr>
        <w:pStyle w:val="0Maintext"/>
        <w:spacing w:after="120" w:afterAutospacing="0" w:line="240" w:lineRule="auto"/>
        <w:ind w:firstLine="0"/>
        <w:jc w:val="center"/>
        <w:rPr>
          <w:lang w:val="en-US" w:eastAsia="zh-CN"/>
        </w:rPr>
      </w:pPr>
      <w:r w:rsidRPr="00AE6E81">
        <w:rPr>
          <w:noProof/>
          <w:lang w:val="en-US" w:eastAsia="zh-CN"/>
        </w:rPr>
        <w:drawing>
          <wp:inline distT="0" distB="0" distL="0" distR="0" wp14:anchorId="19B9BF4F" wp14:editId="70AEBF5C">
            <wp:extent cx="3997017" cy="3953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018725" cy="3975062"/>
                    </a:xfrm>
                    <a:prstGeom prst="rect">
                      <a:avLst/>
                    </a:prstGeom>
                  </pic:spPr>
                </pic:pic>
              </a:graphicData>
            </a:graphic>
          </wp:inline>
        </w:drawing>
      </w:r>
    </w:p>
    <w:p w:rsidR="00A2597F" w:rsidRPr="00A2597F" w:rsidRDefault="00A2597F" w:rsidP="00A2597F">
      <w:pPr>
        <w:pStyle w:val="0Maintext"/>
        <w:spacing w:after="120" w:afterAutospacing="0" w:line="240" w:lineRule="auto"/>
        <w:ind w:firstLine="0"/>
        <w:jc w:val="center"/>
        <w:rPr>
          <w:b/>
          <w:bCs/>
          <w:lang w:val="en-US" w:eastAsia="zh-CN"/>
        </w:rPr>
      </w:pPr>
      <w:r w:rsidRPr="00A2597F">
        <w:rPr>
          <w:b/>
          <w:bCs/>
          <w:lang w:val="en-US" w:eastAsia="zh-CN"/>
        </w:rPr>
        <w:t>Figure 1: UE-based TA measurement</w:t>
      </w:r>
    </w:p>
    <w:p w:rsidR="00BD2876" w:rsidRDefault="00885435" w:rsidP="00557396">
      <w:pPr>
        <w:pStyle w:val="0Maintext"/>
        <w:spacing w:after="120" w:afterAutospacing="0" w:line="240" w:lineRule="auto"/>
        <w:ind w:firstLine="0"/>
        <w:rPr>
          <w:lang w:val="en-US" w:eastAsia="zh-CN"/>
        </w:rPr>
      </w:pPr>
      <w:r>
        <w:rPr>
          <w:lang w:val="en-US" w:eastAsia="zh-CN"/>
        </w:rPr>
        <w:t>When the serving cell and target cell are not well synchronized, the UE-based TA measurement could be inaccurate, since the start timing for the DL signals for both cells could be quite different. Thus, it is necessary to consider NW-based TA measurement as a complementary. The NW can trigger some uplink signals</w:t>
      </w:r>
      <w:r w:rsidR="009847B9">
        <w:rPr>
          <w:lang w:val="en-US" w:eastAsia="zh-CN"/>
        </w:rPr>
        <w:t>, e.g., PRACH,</w:t>
      </w:r>
      <w:r>
        <w:rPr>
          <w:lang w:val="en-US" w:eastAsia="zh-CN"/>
        </w:rPr>
        <w:t xml:space="preserve"> for TA measurement. </w:t>
      </w:r>
      <w:r w:rsidR="009847B9">
        <w:rPr>
          <w:lang w:val="en-US" w:eastAsia="zh-CN"/>
        </w:rPr>
        <w:t xml:space="preserve">Such PRACH can be triggered before the TCI indication. </w:t>
      </w:r>
    </w:p>
    <w:p w:rsidR="009847B9" w:rsidRPr="009847B9" w:rsidRDefault="009847B9" w:rsidP="00557396">
      <w:pPr>
        <w:pStyle w:val="0Maintext"/>
        <w:spacing w:after="120" w:afterAutospacing="0" w:line="240" w:lineRule="auto"/>
        <w:ind w:firstLine="0"/>
        <w:rPr>
          <w:b/>
          <w:bCs/>
          <w:i/>
          <w:iCs/>
          <w:lang w:val="en-US" w:eastAsia="zh-CN"/>
        </w:rPr>
      </w:pPr>
      <w:r w:rsidRPr="009847B9">
        <w:rPr>
          <w:b/>
          <w:bCs/>
          <w:i/>
          <w:iCs/>
          <w:lang w:val="en-US" w:eastAsia="zh-CN"/>
        </w:rPr>
        <w:t xml:space="preserve">Proposal </w:t>
      </w:r>
      <w:r w:rsidR="00F970AE">
        <w:rPr>
          <w:b/>
          <w:bCs/>
          <w:i/>
          <w:iCs/>
          <w:lang w:val="en-US" w:eastAsia="zh-CN"/>
        </w:rPr>
        <w:t>2</w:t>
      </w:r>
      <w:r w:rsidRPr="009847B9">
        <w:rPr>
          <w:b/>
          <w:bCs/>
          <w:i/>
          <w:iCs/>
          <w:lang w:val="en-US" w:eastAsia="zh-CN"/>
        </w:rPr>
        <w:t>: For TA measurement, study the following options:</w:t>
      </w:r>
    </w:p>
    <w:p w:rsidR="009847B9" w:rsidRPr="009847B9" w:rsidRDefault="009847B9" w:rsidP="009847B9">
      <w:pPr>
        <w:pStyle w:val="0Maintext"/>
        <w:numPr>
          <w:ilvl w:val="0"/>
          <w:numId w:val="33"/>
        </w:numPr>
        <w:spacing w:after="120" w:afterAutospacing="0" w:line="240" w:lineRule="auto"/>
        <w:rPr>
          <w:b/>
          <w:bCs/>
          <w:i/>
          <w:iCs/>
          <w:lang w:val="en-US" w:eastAsia="zh-CN"/>
        </w:rPr>
      </w:pPr>
      <w:r w:rsidRPr="009847B9">
        <w:rPr>
          <w:b/>
          <w:bCs/>
          <w:i/>
          <w:iCs/>
          <w:lang w:val="en-US" w:eastAsia="zh-CN"/>
        </w:rPr>
        <w:t>Option 1: UE-based TA measurement, where the UE can derive the TA based on downlink measurement</w:t>
      </w:r>
    </w:p>
    <w:p w:rsidR="009847B9" w:rsidRPr="009847B9" w:rsidRDefault="009847B9" w:rsidP="009847B9">
      <w:pPr>
        <w:pStyle w:val="0Maintext"/>
        <w:numPr>
          <w:ilvl w:val="0"/>
          <w:numId w:val="33"/>
        </w:numPr>
        <w:spacing w:after="120" w:afterAutospacing="0" w:line="240" w:lineRule="auto"/>
        <w:rPr>
          <w:b/>
          <w:bCs/>
          <w:i/>
          <w:iCs/>
          <w:lang w:val="en-US" w:eastAsia="zh-CN"/>
        </w:rPr>
      </w:pPr>
      <w:r w:rsidRPr="009847B9">
        <w:rPr>
          <w:b/>
          <w:bCs/>
          <w:i/>
          <w:iCs/>
          <w:lang w:val="en-US" w:eastAsia="zh-CN"/>
        </w:rPr>
        <w:t>Option 2: NW-based TA measurement, where the NW can measure the TA based on uplink signals</w:t>
      </w:r>
    </w:p>
    <w:p w:rsidR="009847B9" w:rsidRDefault="009847B9" w:rsidP="009847B9">
      <w:pPr>
        <w:pStyle w:val="Heading2"/>
      </w:pPr>
      <w:r>
        <w:t>TA update</w:t>
      </w:r>
    </w:p>
    <w:p w:rsidR="009847B9" w:rsidRDefault="009847B9" w:rsidP="00557396">
      <w:pPr>
        <w:pStyle w:val="0Maintext"/>
        <w:spacing w:after="120" w:afterAutospacing="0" w:line="240" w:lineRule="auto"/>
        <w:ind w:firstLine="0"/>
        <w:rPr>
          <w:lang w:val="en-US" w:eastAsia="zh-CN"/>
        </w:rPr>
      </w:pPr>
      <w:r>
        <w:rPr>
          <w:lang w:val="en-US" w:eastAsia="zh-CN"/>
        </w:rPr>
        <w:t>For TA update, usually there can be two possible options:</w:t>
      </w:r>
    </w:p>
    <w:p w:rsidR="009847B9" w:rsidRDefault="009847B9" w:rsidP="009847B9">
      <w:pPr>
        <w:pStyle w:val="0Maintext"/>
        <w:numPr>
          <w:ilvl w:val="0"/>
          <w:numId w:val="34"/>
        </w:numPr>
        <w:spacing w:after="120" w:afterAutospacing="0" w:line="240" w:lineRule="auto"/>
        <w:rPr>
          <w:lang w:val="en-US" w:eastAsia="zh-CN"/>
        </w:rPr>
      </w:pPr>
      <w:r>
        <w:rPr>
          <w:lang w:val="en-US" w:eastAsia="zh-CN"/>
        </w:rPr>
        <w:t>Option 1: UE autonomous TA update</w:t>
      </w:r>
    </w:p>
    <w:p w:rsidR="009847B9" w:rsidRDefault="009847B9" w:rsidP="009847B9">
      <w:pPr>
        <w:pStyle w:val="0Maintext"/>
        <w:numPr>
          <w:ilvl w:val="0"/>
          <w:numId w:val="34"/>
        </w:numPr>
        <w:spacing w:after="120" w:afterAutospacing="0" w:line="240" w:lineRule="auto"/>
        <w:rPr>
          <w:lang w:val="en-US" w:eastAsia="zh-CN"/>
        </w:rPr>
      </w:pPr>
      <w:r>
        <w:rPr>
          <w:lang w:val="en-US" w:eastAsia="zh-CN"/>
        </w:rPr>
        <w:t xml:space="preserve">Option 2: </w:t>
      </w:r>
      <w:r w:rsidR="0078316B">
        <w:rPr>
          <w:lang w:val="en-US" w:eastAsia="zh-CN"/>
        </w:rPr>
        <w:t>TA update based on TA command</w:t>
      </w:r>
    </w:p>
    <w:p w:rsidR="0078316B" w:rsidRDefault="00F970AE" w:rsidP="00557396">
      <w:pPr>
        <w:pStyle w:val="0Maintext"/>
        <w:spacing w:after="120" w:afterAutospacing="0" w:line="240" w:lineRule="auto"/>
        <w:ind w:firstLine="0"/>
        <w:rPr>
          <w:lang w:val="en-US"/>
        </w:rPr>
      </w:pPr>
      <w:r>
        <w:rPr>
          <w:lang w:val="en-US"/>
        </w:rPr>
        <w:t xml:space="preserve">Option 1 should always be feasible from UE implementation point of view. But there are some legacy constraints/requirements for UE autonomous TA update defined in RAN4. Some further study on UE autonomous TA update can be handled by RAN4. Option 2 could require some control signaling from the NW to the UE. </w:t>
      </w:r>
      <w:r w:rsidR="00AE6E81">
        <w:rPr>
          <w:lang w:val="en-US"/>
        </w:rPr>
        <w:t>The NW can send a TAC to the UE before the UE’s initial transmission to the NW. Then the UE can apply the new TA and transmit the uplink signal to the target cell based on the new TA.</w:t>
      </w:r>
    </w:p>
    <w:p w:rsidR="00F970AE" w:rsidRPr="00AE6E81" w:rsidRDefault="00AE6E81" w:rsidP="00557396">
      <w:pPr>
        <w:pStyle w:val="0Maintext"/>
        <w:spacing w:after="120" w:afterAutospacing="0" w:line="240" w:lineRule="auto"/>
        <w:ind w:firstLine="0"/>
        <w:rPr>
          <w:b/>
          <w:bCs/>
          <w:i/>
          <w:iCs/>
          <w:lang w:val="en-US"/>
        </w:rPr>
      </w:pPr>
      <w:r w:rsidRPr="00AE6E81">
        <w:rPr>
          <w:b/>
          <w:bCs/>
          <w:i/>
          <w:iCs/>
          <w:lang w:val="en-US"/>
        </w:rPr>
        <w:t>Proposal 3: UE autonomous TA update related aspects should be studied by RAN4.</w:t>
      </w:r>
    </w:p>
    <w:p w:rsidR="00AE6E81" w:rsidRPr="00AE6E81" w:rsidRDefault="00AE6E81" w:rsidP="00557396">
      <w:pPr>
        <w:pStyle w:val="0Maintext"/>
        <w:spacing w:after="120" w:afterAutospacing="0" w:line="240" w:lineRule="auto"/>
        <w:ind w:firstLine="0"/>
        <w:rPr>
          <w:b/>
          <w:bCs/>
          <w:i/>
          <w:iCs/>
          <w:lang w:val="en-US"/>
        </w:rPr>
      </w:pPr>
      <w:r w:rsidRPr="00AE6E81">
        <w:rPr>
          <w:b/>
          <w:bCs/>
          <w:i/>
          <w:iCs/>
          <w:lang w:val="en-US"/>
        </w:rPr>
        <w:lastRenderedPageBreak/>
        <w:t xml:space="preserve">Proposal 4: Further study on TA update </w:t>
      </w:r>
      <w:r>
        <w:rPr>
          <w:b/>
          <w:bCs/>
          <w:i/>
          <w:iCs/>
          <w:lang w:val="en-US"/>
        </w:rPr>
        <w:t xml:space="preserve">for NR mobility </w:t>
      </w:r>
      <w:r w:rsidRPr="00AE6E81">
        <w:rPr>
          <w:b/>
          <w:bCs/>
          <w:i/>
          <w:iCs/>
          <w:lang w:val="en-US"/>
        </w:rPr>
        <w:t>should be based on potential enhancement for TA command related mechanism</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E6E81">
        <w:rPr>
          <w:lang w:val="en-US" w:eastAsia="zh-CN"/>
        </w:rPr>
        <w:t>TA</w:t>
      </w:r>
      <w:r w:rsidR="00FD10E5">
        <w:rPr>
          <w:lang w:val="en-US" w:eastAsia="zh-CN"/>
        </w:rPr>
        <w:t xml:space="preserve"> enhancement for Rel-18 mobility enhancement</w:t>
      </w:r>
      <w:r>
        <w:rPr>
          <w:lang w:val="en-US" w:eastAsia="zh-CN"/>
        </w:rPr>
        <w:t>. Based on the discussion, the following proposals have been achieved.</w:t>
      </w:r>
    </w:p>
    <w:p w:rsidR="00AE6E81" w:rsidRPr="00F970AE" w:rsidRDefault="00AE6E81" w:rsidP="00AE6E81">
      <w:pPr>
        <w:pStyle w:val="0Maintext"/>
        <w:spacing w:after="120" w:afterAutospacing="0" w:line="240" w:lineRule="auto"/>
        <w:ind w:firstLine="0"/>
        <w:rPr>
          <w:b/>
          <w:bCs/>
          <w:i/>
          <w:iCs/>
          <w:lang w:val="en-US"/>
        </w:rPr>
      </w:pPr>
      <w:r w:rsidRPr="00F970AE">
        <w:rPr>
          <w:b/>
          <w:bCs/>
          <w:i/>
          <w:iCs/>
          <w:lang w:val="en-US"/>
        </w:rPr>
        <w:t xml:space="preserve">Proposal 1: TA management for NR mobility </w:t>
      </w:r>
      <w:r>
        <w:rPr>
          <w:b/>
          <w:bCs/>
          <w:i/>
          <w:iCs/>
          <w:lang w:val="en-US"/>
        </w:rPr>
        <w:t>shall</w:t>
      </w:r>
      <w:r w:rsidRPr="00F970AE">
        <w:rPr>
          <w:b/>
          <w:bCs/>
          <w:i/>
          <w:iCs/>
          <w:lang w:val="en-US"/>
        </w:rPr>
        <w:t xml:space="preserve"> not require more than 2 TAGs.</w:t>
      </w:r>
    </w:p>
    <w:p w:rsidR="00AE6E81" w:rsidRPr="009847B9" w:rsidRDefault="00AE6E81" w:rsidP="00AE6E81">
      <w:pPr>
        <w:pStyle w:val="0Maintext"/>
        <w:spacing w:after="120" w:afterAutospacing="0" w:line="240" w:lineRule="auto"/>
        <w:ind w:firstLine="0"/>
        <w:rPr>
          <w:b/>
          <w:bCs/>
          <w:i/>
          <w:iCs/>
          <w:lang w:val="en-US" w:eastAsia="zh-CN"/>
        </w:rPr>
      </w:pPr>
      <w:r w:rsidRPr="009847B9">
        <w:rPr>
          <w:b/>
          <w:bCs/>
          <w:i/>
          <w:iCs/>
          <w:lang w:val="en-US" w:eastAsia="zh-CN"/>
        </w:rPr>
        <w:t xml:space="preserve">Proposal </w:t>
      </w:r>
      <w:r>
        <w:rPr>
          <w:b/>
          <w:bCs/>
          <w:i/>
          <w:iCs/>
          <w:lang w:val="en-US" w:eastAsia="zh-CN"/>
        </w:rPr>
        <w:t>2</w:t>
      </w:r>
      <w:r w:rsidRPr="009847B9">
        <w:rPr>
          <w:b/>
          <w:bCs/>
          <w:i/>
          <w:iCs/>
          <w:lang w:val="en-US" w:eastAsia="zh-CN"/>
        </w:rPr>
        <w:t>: For TA measurement, study the following options:</w:t>
      </w:r>
    </w:p>
    <w:p w:rsidR="00AE6E81" w:rsidRPr="009847B9" w:rsidRDefault="00AE6E81" w:rsidP="00AE6E81">
      <w:pPr>
        <w:pStyle w:val="0Maintext"/>
        <w:numPr>
          <w:ilvl w:val="0"/>
          <w:numId w:val="33"/>
        </w:numPr>
        <w:spacing w:after="120" w:afterAutospacing="0" w:line="240" w:lineRule="auto"/>
        <w:rPr>
          <w:b/>
          <w:bCs/>
          <w:i/>
          <w:iCs/>
          <w:lang w:val="en-US" w:eastAsia="zh-CN"/>
        </w:rPr>
      </w:pPr>
      <w:r w:rsidRPr="009847B9">
        <w:rPr>
          <w:b/>
          <w:bCs/>
          <w:i/>
          <w:iCs/>
          <w:lang w:val="en-US" w:eastAsia="zh-CN"/>
        </w:rPr>
        <w:t>Option 1: UE-based TA measurement, where the UE can derive the TA based on downlink measurement</w:t>
      </w:r>
    </w:p>
    <w:p w:rsidR="00AE6E81" w:rsidRPr="009847B9" w:rsidRDefault="00AE6E81" w:rsidP="00AE6E81">
      <w:pPr>
        <w:pStyle w:val="0Maintext"/>
        <w:numPr>
          <w:ilvl w:val="0"/>
          <w:numId w:val="33"/>
        </w:numPr>
        <w:spacing w:after="120" w:afterAutospacing="0" w:line="240" w:lineRule="auto"/>
        <w:rPr>
          <w:b/>
          <w:bCs/>
          <w:i/>
          <w:iCs/>
          <w:lang w:val="en-US" w:eastAsia="zh-CN"/>
        </w:rPr>
      </w:pPr>
      <w:r w:rsidRPr="009847B9">
        <w:rPr>
          <w:b/>
          <w:bCs/>
          <w:i/>
          <w:iCs/>
          <w:lang w:val="en-US" w:eastAsia="zh-CN"/>
        </w:rPr>
        <w:t>Option 2: NW-based TA measurement, where the NW can measure the TA based on uplink signals</w:t>
      </w:r>
    </w:p>
    <w:p w:rsidR="00AE6E81" w:rsidRPr="00AE6E81" w:rsidRDefault="00AE6E81" w:rsidP="00AE6E81">
      <w:pPr>
        <w:pStyle w:val="0Maintext"/>
        <w:spacing w:after="120" w:afterAutospacing="0" w:line="240" w:lineRule="auto"/>
        <w:ind w:firstLine="0"/>
        <w:rPr>
          <w:b/>
          <w:bCs/>
          <w:i/>
          <w:iCs/>
          <w:lang w:val="en-US"/>
        </w:rPr>
      </w:pPr>
      <w:r w:rsidRPr="00AE6E81">
        <w:rPr>
          <w:b/>
          <w:bCs/>
          <w:i/>
          <w:iCs/>
          <w:lang w:val="en-US"/>
        </w:rPr>
        <w:t>Proposal 3: UE autonomous TA update related aspects should be studied by RAN4.</w:t>
      </w:r>
    </w:p>
    <w:p w:rsidR="00AE6E81" w:rsidRPr="00AE6E81" w:rsidRDefault="00AE6E81" w:rsidP="00AE6E81">
      <w:pPr>
        <w:pStyle w:val="0Maintext"/>
        <w:spacing w:after="120" w:afterAutospacing="0" w:line="240" w:lineRule="auto"/>
        <w:ind w:firstLine="0"/>
        <w:rPr>
          <w:b/>
          <w:bCs/>
          <w:i/>
          <w:iCs/>
          <w:lang w:val="en-US"/>
        </w:rPr>
      </w:pPr>
      <w:r w:rsidRPr="00AE6E81">
        <w:rPr>
          <w:b/>
          <w:bCs/>
          <w:i/>
          <w:iCs/>
          <w:lang w:val="en-US"/>
        </w:rPr>
        <w:t xml:space="preserve">Proposal 4: Further study on TA update </w:t>
      </w:r>
      <w:r>
        <w:rPr>
          <w:b/>
          <w:bCs/>
          <w:i/>
          <w:iCs/>
          <w:lang w:val="en-US"/>
        </w:rPr>
        <w:t xml:space="preserve">for NR mobility </w:t>
      </w:r>
      <w:r w:rsidRPr="00AE6E81">
        <w:rPr>
          <w:b/>
          <w:bCs/>
          <w:i/>
          <w:iCs/>
          <w:lang w:val="en-US"/>
        </w:rPr>
        <w:t>should be based on potential enhancement for TA command related mechanism</w:t>
      </w:r>
    </w:p>
    <w:sectPr w:rsidR="00AE6E81" w:rsidRPr="00AE6E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A5A76"/>
    <w:multiLevelType w:val="hybridMultilevel"/>
    <w:tmpl w:val="5C22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1D7"/>
    <w:multiLevelType w:val="hybridMultilevel"/>
    <w:tmpl w:val="4F6AE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E2097"/>
    <w:multiLevelType w:val="hybridMultilevel"/>
    <w:tmpl w:val="CBA2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9461E9"/>
    <w:multiLevelType w:val="hybridMultilevel"/>
    <w:tmpl w:val="DF0A3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C08CF"/>
    <w:multiLevelType w:val="hybridMultilevel"/>
    <w:tmpl w:val="5ECAF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C276D"/>
    <w:multiLevelType w:val="hybridMultilevel"/>
    <w:tmpl w:val="6E30A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6"/>
  </w:num>
  <w:num w:numId="3" w16cid:durableId="1291010930">
    <w:abstractNumId w:val="21"/>
  </w:num>
  <w:num w:numId="4" w16cid:durableId="1095134973">
    <w:abstractNumId w:val="20"/>
  </w:num>
  <w:num w:numId="5" w16cid:durableId="1641223975">
    <w:abstractNumId w:val="13"/>
  </w:num>
  <w:num w:numId="6" w16cid:durableId="564610010">
    <w:abstractNumId w:val="24"/>
  </w:num>
  <w:num w:numId="7" w16cid:durableId="577132295">
    <w:abstractNumId w:val="7"/>
  </w:num>
  <w:num w:numId="8" w16cid:durableId="617444232">
    <w:abstractNumId w:val="12"/>
  </w:num>
  <w:num w:numId="9" w16cid:durableId="1741826848">
    <w:abstractNumId w:val="19"/>
  </w:num>
  <w:num w:numId="10" w16cid:durableId="204176157">
    <w:abstractNumId w:val="26"/>
  </w:num>
  <w:num w:numId="11" w16cid:durableId="2075464340">
    <w:abstractNumId w:val="32"/>
  </w:num>
  <w:num w:numId="12" w16cid:durableId="134567778">
    <w:abstractNumId w:val="14"/>
  </w:num>
  <w:num w:numId="13" w16cid:durableId="1036003743">
    <w:abstractNumId w:val="23"/>
  </w:num>
  <w:num w:numId="14" w16cid:durableId="1516190854">
    <w:abstractNumId w:val="6"/>
  </w:num>
  <w:num w:numId="15" w16cid:durableId="667904329">
    <w:abstractNumId w:val="31"/>
  </w:num>
  <w:num w:numId="16" w16cid:durableId="749228951">
    <w:abstractNumId w:val="27"/>
  </w:num>
  <w:num w:numId="17" w16cid:durableId="654139330">
    <w:abstractNumId w:val="28"/>
  </w:num>
  <w:num w:numId="18" w16cid:durableId="37442205">
    <w:abstractNumId w:val="22"/>
  </w:num>
  <w:num w:numId="19" w16cid:durableId="452796089">
    <w:abstractNumId w:val="21"/>
  </w:num>
  <w:num w:numId="20" w16cid:durableId="947349516">
    <w:abstractNumId w:val="15"/>
  </w:num>
  <w:num w:numId="21" w16cid:durableId="123163289">
    <w:abstractNumId w:val="9"/>
  </w:num>
  <w:num w:numId="22" w16cid:durableId="892035091">
    <w:abstractNumId w:val="8"/>
  </w:num>
  <w:num w:numId="23" w16cid:durableId="1978486">
    <w:abstractNumId w:val="4"/>
  </w:num>
  <w:num w:numId="24" w16cid:durableId="1452360992">
    <w:abstractNumId w:val="11"/>
  </w:num>
  <w:num w:numId="25" w16cid:durableId="501893973">
    <w:abstractNumId w:val="18"/>
  </w:num>
  <w:num w:numId="26" w16cid:durableId="766006395">
    <w:abstractNumId w:val="1"/>
  </w:num>
  <w:num w:numId="27" w16cid:durableId="878904140">
    <w:abstractNumId w:val="25"/>
  </w:num>
  <w:num w:numId="28" w16cid:durableId="905073282">
    <w:abstractNumId w:val="5"/>
  </w:num>
  <w:num w:numId="29" w16cid:durableId="81534500">
    <w:abstractNumId w:val="2"/>
  </w:num>
  <w:num w:numId="30" w16cid:durableId="2106489978">
    <w:abstractNumId w:val="10"/>
  </w:num>
  <w:num w:numId="31" w16cid:durableId="1958951890">
    <w:abstractNumId w:val="17"/>
  </w:num>
  <w:num w:numId="32" w16cid:durableId="1670133709">
    <w:abstractNumId w:val="29"/>
  </w:num>
  <w:num w:numId="33" w16cid:durableId="974799008">
    <w:abstractNumId w:val="3"/>
  </w:num>
  <w:num w:numId="34" w16cid:durableId="159478261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AFC"/>
    <w:rsid w:val="00037C8D"/>
    <w:rsid w:val="000A1909"/>
    <w:rsid w:val="000A60ED"/>
    <w:rsid w:val="00105DE0"/>
    <w:rsid w:val="00122C70"/>
    <w:rsid w:val="0015468B"/>
    <w:rsid w:val="00167245"/>
    <w:rsid w:val="001922F1"/>
    <w:rsid w:val="001A55AA"/>
    <w:rsid w:val="001D3923"/>
    <w:rsid w:val="001D7163"/>
    <w:rsid w:val="001E1D5D"/>
    <w:rsid w:val="001E4CFE"/>
    <w:rsid w:val="001F1EBF"/>
    <w:rsid w:val="00223C15"/>
    <w:rsid w:val="00226209"/>
    <w:rsid w:val="00253282"/>
    <w:rsid w:val="002548E6"/>
    <w:rsid w:val="00275881"/>
    <w:rsid w:val="00281CF7"/>
    <w:rsid w:val="002D719B"/>
    <w:rsid w:val="00303A87"/>
    <w:rsid w:val="0030732C"/>
    <w:rsid w:val="00330D34"/>
    <w:rsid w:val="00346E6B"/>
    <w:rsid w:val="00356E4B"/>
    <w:rsid w:val="00375357"/>
    <w:rsid w:val="003976BE"/>
    <w:rsid w:val="003C00AB"/>
    <w:rsid w:val="003D2036"/>
    <w:rsid w:val="003D4627"/>
    <w:rsid w:val="003F4028"/>
    <w:rsid w:val="00417C58"/>
    <w:rsid w:val="00431006"/>
    <w:rsid w:val="00431501"/>
    <w:rsid w:val="00431BE9"/>
    <w:rsid w:val="00477892"/>
    <w:rsid w:val="00491EBA"/>
    <w:rsid w:val="004951DA"/>
    <w:rsid w:val="004B588D"/>
    <w:rsid w:val="004C65E3"/>
    <w:rsid w:val="004F16E8"/>
    <w:rsid w:val="0050593E"/>
    <w:rsid w:val="00557396"/>
    <w:rsid w:val="005635BB"/>
    <w:rsid w:val="005A2726"/>
    <w:rsid w:val="005B55AC"/>
    <w:rsid w:val="00606763"/>
    <w:rsid w:val="0061491E"/>
    <w:rsid w:val="00640857"/>
    <w:rsid w:val="00660865"/>
    <w:rsid w:val="00687F40"/>
    <w:rsid w:val="006A5206"/>
    <w:rsid w:val="006E53C6"/>
    <w:rsid w:val="006F4725"/>
    <w:rsid w:val="007520FE"/>
    <w:rsid w:val="00763A34"/>
    <w:rsid w:val="00781DD5"/>
    <w:rsid w:val="0078316B"/>
    <w:rsid w:val="00792998"/>
    <w:rsid w:val="007A63FA"/>
    <w:rsid w:val="007C2BB2"/>
    <w:rsid w:val="007F3937"/>
    <w:rsid w:val="00812D24"/>
    <w:rsid w:val="00826E9C"/>
    <w:rsid w:val="008443A3"/>
    <w:rsid w:val="008766FE"/>
    <w:rsid w:val="00885435"/>
    <w:rsid w:val="008864BC"/>
    <w:rsid w:val="008A6337"/>
    <w:rsid w:val="008C065D"/>
    <w:rsid w:val="008D04EC"/>
    <w:rsid w:val="008D4BCD"/>
    <w:rsid w:val="008E42B2"/>
    <w:rsid w:val="008E7132"/>
    <w:rsid w:val="00905082"/>
    <w:rsid w:val="00906A9A"/>
    <w:rsid w:val="00911EEF"/>
    <w:rsid w:val="00914B21"/>
    <w:rsid w:val="00922457"/>
    <w:rsid w:val="009366FD"/>
    <w:rsid w:val="00953F61"/>
    <w:rsid w:val="009847B9"/>
    <w:rsid w:val="009B0A18"/>
    <w:rsid w:val="009C1B6C"/>
    <w:rsid w:val="009C1CAB"/>
    <w:rsid w:val="009D0133"/>
    <w:rsid w:val="009E3DB7"/>
    <w:rsid w:val="009E5063"/>
    <w:rsid w:val="009F2D93"/>
    <w:rsid w:val="009F6087"/>
    <w:rsid w:val="00A17BEA"/>
    <w:rsid w:val="00A2597F"/>
    <w:rsid w:val="00A316C9"/>
    <w:rsid w:val="00A42238"/>
    <w:rsid w:val="00A448D2"/>
    <w:rsid w:val="00A90297"/>
    <w:rsid w:val="00A93065"/>
    <w:rsid w:val="00AA2E73"/>
    <w:rsid w:val="00AC0A67"/>
    <w:rsid w:val="00AD4009"/>
    <w:rsid w:val="00AE467A"/>
    <w:rsid w:val="00AE6E81"/>
    <w:rsid w:val="00B01671"/>
    <w:rsid w:val="00B02C9F"/>
    <w:rsid w:val="00B1188E"/>
    <w:rsid w:val="00B3722D"/>
    <w:rsid w:val="00B71A0E"/>
    <w:rsid w:val="00B8306C"/>
    <w:rsid w:val="00B93343"/>
    <w:rsid w:val="00BA48C8"/>
    <w:rsid w:val="00BD2876"/>
    <w:rsid w:val="00BD6CCE"/>
    <w:rsid w:val="00BE15BB"/>
    <w:rsid w:val="00C031C3"/>
    <w:rsid w:val="00C03A21"/>
    <w:rsid w:val="00C04D65"/>
    <w:rsid w:val="00C10D36"/>
    <w:rsid w:val="00C132FE"/>
    <w:rsid w:val="00C1419D"/>
    <w:rsid w:val="00C27E72"/>
    <w:rsid w:val="00C42331"/>
    <w:rsid w:val="00C46EAA"/>
    <w:rsid w:val="00C63FD7"/>
    <w:rsid w:val="00C9103E"/>
    <w:rsid w:val="00C9405F"/>
    <w:rsid w:val="00CB1727"/>
    <w:rsid w:val="00CC1F22"/>
    <w:rsid w:val="00CC66DF"/>
    <w:rsid w:val="00CF6D54"/>
    <w:rsid w:val="00D0763A"/>
    <w:rsid w:val="00D13E1E"/>
    <w:rsid w:val="00D1450B"/>
    <w:rsid w:val="00D4326F"/>
    <w:rsid w:val="00D518D9"/>
    <w:rsid w:val="00D542B4"/>
    <w:rsid w:val="00D616A3"/>
    <w:rsid w:val="00D719D5"/>
    <w:rsid w:val="00D734BD"/>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27C7C"/>
    <w:rsid w:val="00F31ED8"/>
    <w:rsid w:val="00F81399"/>
    <w:rsid w:val="00F92E33"/>
    <w:rsid w:val="00F970AE"/>
    <w:rsid w:val="00FA0EF5"/>
    <w:rsid w:val="00FD10E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3A5B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rsid w:val="00906A9A"/>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2022-09-23T03:29:00Z</dcterms:created>
  <dcterms:modified xsi:type="dcterms:W3CDTF">2022-09-28T03:18:00Z</dcterms:modified>
</cp:coreProperties>
</file>